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2021级大学生参保缴费流程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 xml:space="preserve">    1、明确表示参加大学生医保的大学生填报电子版《城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乡居民批量新参保模板》中的</w:t>
      </w:r>
      <w:r>
        <w:rPr>
          <w:color w:val="FF0000"/>
          <w:position w:val="0"/>
          <w:sz w:val="32"/>
          <w:szCs w:val="32"/>
          <w:rFonts w:ascii="仿宋" w:eastAsia="仿宋" w:hAnsi="仿宋" w:hint="default"/>
        </w:rPr>
        <w:t>姓名、身份证号码、性别、民</w:t>
      </w:r>
      <w:r>
        <w:rPr>
          <w:color w:val="FF0000"/>
          <w:position w:val="0"/>
          <w:sz w:val="32"/>
          <w:szCs w:val="32"/>
          <w:rFonts w:ascii="仿宋" w:eastAsia="仿宋" w:hAnsi="仿宋" w:hint="default"/>
        </w:rPr>
        <w:t>族、出生日期、参保身份、参保时间、居住地址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，全部以</w:t>
      </w:r>
      <w:r>
        <w:rPr>
          <w:b w:val="1"/>
          <w:color w:val="FF0000"/>
          <w:position w:val="0"/>
          <w:sz w:val="36"/>
          <w:szCs w:val="36"/>
          <w:rFonts w:ascii="仿宋" w:eastAsia="仿宋" w:hAnsi="仿宋" w:hint="default"/>
        </w:rPr>
        <w:t>文</w:t>
      </w:r>
      <w:r>
        <w:rPr>
          <w:b w:val="1"/>
          <w:color w:val="FF0000"/>
          <w:position w:val="0"/>
          <w:sz w:val="36"/>
          <w:szCs w:val="36"/>
          <w:rFonts w:ascii="仿宋" w:eastAsia="仿宋" w:hAnsi="仿宋" w:hint="default"/>
        </w:rPr>
        <w:t>本格式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编制录入。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2、校医院将编制好的《城乡居民批量新参保模板》按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照参保学生全部学年进行排序。如参保缴费3年的学生，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在《城乡居民批量新参保模板》表头编制为《3年缴费城乡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居民批量新参保模板》的一个模板，模板中录入全部是缴费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3年的学生，模板最高上限录入1000人。如参保缴费2年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的学生则表头可编制为《2年缴费城乡居民批量模板》的一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个模板，模板中录入全部是缴费2年的学生。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3、校医院进入《基层服务应用管理系统》打开批量城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乡居民参保登记程序，点击批量导入，上传excel模板文件。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导入成功后，在户籍地参保的学生参保状态自动退保，社会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保障卡上个人账户还有余额的，则余额保存在其户籍地医保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经办机构，进入城乡居民参保登记审核程序逐一点击详情进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行审核，按照数据的情况选择通过或者不通过，通过后即为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参保成功。对导入失败的的数据，点击详情按钮，查看不能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导入的失败原因并通知不能导入的学生联系其户籍地医保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经办机构尽快解决其问题后及时参保，如已在户籍地缴纳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2022年医保费的学生，系统会因重复参保的原因显示不能导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入成功。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2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4、校医院将已参保的大中学生编好的模板及时报送参保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地辖区医保经办机构，参保地医保经办机构在国家医疗保障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信息平台系统中按照批量核定缴费程序分别按照学生全部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学年每个年度进行逐一核定，如缴费3年的学生按照参保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成功的《3年缴费城乡居民批量新参保模板》分别点击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2022年、2023年、2024年做批量核定单，保存即可。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2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5、校医院在QQ“2021级医保工作群”中发布通知，通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知学生在河北税务微信公众号上自主全额缴费。如参保后一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直未缴费学生，学校还需编制其学生名单报送到参保地辖区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医保经办机构尽快退保手续，让其在户籍地参保并享受户籍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地医保待遇。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2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2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12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4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20" w:hanging="720"/>
        <w:jc w:val="both"/>
      </w:pPr>
      <w:rPr>
        <w:rFonts w:ascii="仿宋" w:eastAsia="仿宋" w:hAnsi="仿宋"/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2</Pages>
  <Paragraphs>1</Paragraphs>
  <Words>145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2021-09-24T09:50:00Z</dcterms:modified>
</cp:coreProperties>
</file>