
<file path=[Content_Types].xml><?xml version="1.0" encoding="utf-8"?>
<Types xmlns="http://schemas.openxmlformats.org/package/2006/content-types">
  <Default Extension="jpeg" ContentType="image/jpe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center"/>
        <w:spacing w:lineRule="auto" w:line="240" w:before="0" w:after="0"/>
        <w:ind w:right="0" w:firstLine="0"/>
        <w:rPr>
          <w:b w:val="1"/>
          <w:color w:val="auto"/>
          <w:position w:val="0"/>
          <w:sz w:val="36"/>
          <w:szCs w:val="36"/>
          <w:rFonts w:ascii="宋体" w:eastAsia="宋体" w:hAnsi="宋体" w:hint="default"/>
        </w:rPr>
        <w:autoSpaceDE w:val="1"/>
        <w:autoSpaceDN w:val="1"/>
      </w:pPr>
      <w:r>
        <w:rPr>
          <w:b w:val="1"/>
          <w:color w:val="auto"/>
          <w:position w:val="0"/>
          <w:sz w:val="36"/>
          <w:szCs w:val="36"/>
          <w:rFonts w:ascii="宋体" w:eastAsia="宋体" w:hAnsi="宋体" w:hint="default"/>
        </w:rPr>
        <w:t>2021级大学生医保简要说明</w:t>
      </w:r>
    </w:p>
    <w:p>
      <w:pPr>
        <w:numPr>
          <w:ilvl w:val="0"/>
          <w:numId w:val="0"/>
        </w:numPr>
        <w:jc w:val="left"/>
        <w:spacing w:lineRule="exact" w:line="600" w:before="0" w:after="0"/>
        <w:ind w:right="0" w:firstLine="560"/>
        <w:rPr>
          <w:color w:val="auto"/>
          <w:position w:val="0"/>
          <w:sz w:val="28"/>
          <w:szCs w:val="28"/>
          <w:rFonts w:ascii="仿宋" w:eastAsia="仿宋" w:hAnsi="仿宋" w:hint="default"/>
        </w:rPr>
        <w:autoSpaceDE w:val="1"/>
        <w:autoSpaceDN w:val="1"/>
      </w:pPr>
    </w:p>
    <w:p>
      <w:pPr>
        <w:numPr>
          <w:ilvl w:val="0"/>
          <w:numId w:val="0"/>
        </w:numPr>
        <w:jc w:val="left"/>
        <w:spacing w:lineRule="exact" w:line="600" w:before="0" w:after="0"/>
        <w:ind w:right="0" w:firstLine="0"/>
        <w:rPr>
          <w:b w:val="1"/>
          <w:color w:val="auto"/>
          <w:position w:val="0"/>
          <w:sz w:val="28"/>
          <w:szCs w:val="28"/>
          <w:rFonts w:ascii="仿宋" w:eastAsia="仿宋" w:hAnsi="仿宋" w:hint="default"/>
        </w:rPr>
        <w:autoSpaceDE w:val="1"/>
        <w:autoSpaceDN w:val="1"/>
      </w:pPr>
      <w:r>
        <w:rPr>
          <w:b w:val="1"/>
          <w:color w:val="auto"/>
          <w:position w:val="0"/>
          <w:sz w:val="28"/>
          <w:szCs w:val="28"/>
          <w:rFonts w:ascii="仿宋" w:eastAsia="仿宋" w:hAnsi="仿宋" w:hint="default"/>
        </w:rPr>
        <w:t>一、大中专学生参保的原则：</w:t>
      </w:r>
    </w:p>
    <w:p>
      <w:pPr>
        <w:numPr>
          <w:ilvl w:val="0"/>
          <w:numId w:val="0"/>
        </w:numPr>
        <w:jc w:val="left"/>
        <w:spacing w:lineRule="exact" w:line="600" w:before="0" w:after="0"/>
        <w:ind w:right="0" w:firstLine="636"/>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依据石家庄市医疗保障局等10部门关于转发《关于全面推进基本医疗保险全民参保</w:t>
      </w:r>
      <w:r>
        <w:rPr>
          <w:color w:val="auto"/>
          <w:position w:val="0"/>
          <w:sz w:val="28"/>
          <w:szCs w:val="28"/>
          <w:rFonts w:ascii="仿宋" w:eastAsia="仿宋" w:hAnsi="仿宋" w:hint="default"/>
        </w:rPr>
        <w:t>计划的实施意见》（石医保字【2020】56号）的通知，大中专学生原则上应在学籍地参</w:t>
      </w:r>
      <w:r>
        <w:rPr>
          <w:color w:val="auto"/>
          <w:position w:val="0"/>
          <w:sz w:val="28"/>
          <w:szCs w:val="28"/>
          <w:rFonts w:ascii="仿宋" w:eastAsia="仿宋" w:hAnsi="仿宋" w:hint="default"/>
        </w:rPr>
        <w:t>加居民医保，若大中专学生为建档立卡贫困人口，可以选择在建档立卡贫困人口身份认</w:t>
      </w:r>
      <w:r>
        <w:rPr>
          <w:color w:val="auto"/>
          <w:position w:val="0"/>
          <w:sz w:val="28"/>
          <w:szCs w:val="28"/>
          <w:rFonts w:ascii="仿宋" w:eastAsia="仿宋" w:hAnsi="仿宋" w:hint="default"/>
        </w:rPr>
        <w:t>定地参保。</w:t>
      </w:r>
    </w:p>
    <w:p>
      <w:pPr>
        <w:numPr>
          <w:ilvl w:val="0"/>
          <w:numId w:val="0"/>
        </w:numPr>
        <w:jc w:val="left"/>
        <w:spacing w:lineRule="exact" w:line="600" w:before="0" w:after="0"/>
        <w:ind w:right="0" w:firstLine="0"/>
        <w:rPr>
          <w:b w:val="1"/>
          <w:color w:val="auto"/>
          <w:position w:val="0"/>
          <w:sz w:val="28"/>
          <w:szCs w:val="28"/>
          <w:rFonts w:ascii="仿宋" w:eastAsia="仿宋" w:hAnsi="仿宋" w:hint="default"/>
        </w:rPr>
        <w:autoSpaceDE w:val="1"/>
        <w:autoSpaceDN w:val="1"/>
      </w:pPr>
      <w:r>
        <w:rPr>
          <w:b w:val="1"/>
          <w:color w:val="auto"/>
          <w:position w:val="0"/>
          <w:sz w:val="28"/>
          <w:szCs w:val="28"/>
          <w:rFonts w:ascii="仿宋" w:eastAsia="仿宋" w:hAnsi="仿宋" w:hint="default"/>
        </w:rPr>
        <w:t>二、大中专学生缴费的政策优惠：</w:t>
      </w:r>
    </w:p>
    <w:p>
      <w:pPr>
        <w:numPr>
          <w:ilvl w:val="0"/>
          <w:numId w:val="0"/>
        </w:numPr>
        <w:jc w:val="left"/>
        <w:spacing w:lineRule="exact" w:line="600" w:before="0" w:after="0"/>
        <w:ind w:right="0" w:firstLine="636"/>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大学生医保缴费标准随着国家医保政策的调整逐年提高（2019年度、2020年度160</w:t>
      </w:r>
      <w:r>
        <w:rPr>
          <w:color w:val="auto"/>
          <w:position w:val="0"/>
          <w:sz w:val="28"/>
          <w:szCs w:val="28"/>
          <w:rFonts w:ascii="仿宋" w:eastAsia="仿宋" w:hAnsi="仿宋" w:hint="default"/>
        </w:rPr>
        <w:t>元，2021年度280元,2022年度320元），对入学时缴纳全部学年居民医保费的，在校</w:t>
      </w:r>
      <w:r>
        <w:rPr>
          <w:color w:val="auto"/>
          <w:position w:val="0"/>
          <w:sz w:val="28"/>
          <w:szCs w:val="28"/>
          <w:rFonts w:ascii="仿宋" w:eastAsia="仿宋" w:hAnsi="仿宋" w:hint="default"/>
        </w:rPr>
        <w:t>学习期间居民医保费上调时不再调整。</w:t>
      </w:r>
    </w:p>
    <w:p>
      <w:pPr>
        <w:numPr>
          <w:ilvl w:val="0"/>
          <w:numId w:val="0"/>
        </w:numPr>
        <w:jc w:val="left"/>
        <w:spacing w:lineRule="exact" w:line="600" w:before="0" w:after="0"/>
        <w:ind w:right="0" w:firstLine="0"/>
        <w:rPr>
          <w:b w:val="1"/>
          <w:color w:val="auto"/>
          <w:position w:val="0"/>
          <w:sz w:val="28"/>
          <w:szCs w:val="28"/>
          <w:rFonts w:ascii="仿宋" w:eastAsia="仿宋" w:hAnsi="仿宋" w:hint="default"/>
        </w:rPr>
        <w:autoSpaceDE w:val="1"/>
        <w:autoSpaceDN w:val="1"/>
      </w:pPr>
      <w:r>
        <w:rPr>
          <w:b w:val="1"/>
          <w:color w:val="auto"/>
          <w:position w:val="0"/>
          <w:sz w:val="28"/>
          <w:szCs w:val="28"/>
          <w:rFonts w:ascii="仿宋" w:eastAsia="仿宋" w:hAnsi="仿宋" w:hint="default"/>
        </w:rPr>
        <w:t>三、大中专学生医保待遇：</w:t>
      </w:r>
    </w:p>
    <w:p>
      <w:pPr>
        <w:numPr>
          <w:ilvl w:val="0"/>
          <w:numId w:val="0"/>
        </w:numPr>
        <w:jc w:val="left"/>
        <w:spacing w:lineRule="exact" w:line="60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1.大学生在原户籍所在地、实习地医疗机构住院治疗的，均可享受与统筹区同等级别</w:t>
      </w:r>
      <w:r>
        <w:rPr>
          <w:color w:val="auto"/>
          <w:position w:val="0"/>
          <w:sz w:val="28"/>
          <w:szCs w:val="28"/>
          <w:rFonts w:ascii="仿宋" w:eastAsia="仿宋" w:hAnsi="仿宋" w:hint="default"/>
        </w:rPr>
        <w:t>医疗机构（省属三级、市二级、市一级）相同的起付标准、报销比例待遇。</w:t>
      </w:r>
    </w:p>
    <w:p>
      <w:pPr>
        <w:numPr>
          <w:ilvl w:val="0"/>
          <w:numId w:val="0"/>
        </w:numPr>
        <w:jc w:val="left"/>
        <w:spacing w:lineRule="exact" w:line="60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 xml:space="preserve">2. 统筹区（指我市参保地）内住院待遇：</w:t>
      </w:r>
    </w:p>
    <w:tbl>
      <w:tblID w:val="0"/>
      <w:tblPr>
        <w:tblStyle w:val="PO38"/>
        <w:tblCellMar>
          <w:left w:w="108" w:type="dxa"/>
          <w:top w:w="0" w:type="dxa"/>
          <w:right w:w="108" w:type="dxa"/>
          <w:bottom w:w="0" w:type="dxa"/>
        </w:tblCellMar>
        <w:tblW w:w="9039" w:type="dxa"/>
        <w:tblLook w:val="0004A0" w:firstRow="1" w:lastRow="0" w:firstColumn="1" w:lastColumn="0" w:noHBand="0" w:noVBand="1"/>
        <w:tblLayout w:type="fixed"/>
      </w:tblPr>
      <w:tblGrid>
        <w:gridCol w:w="1704"/>
        <w:gridCol w:w="1704"/>
        <w:gridCol w:w="1945"/>
        <w:gridCol w:w="1701"/>
        <w:gridCol w:w="1985"/>
      </w:tblGrid>
      <w:tr>
        <w:trPr>
          <w:cnfStyle w:val="100000000000" w:firstRow="1" w:lastRow="0" w:firstColumn="0" w:lastColumn="0" w:oddVBand="0" w:evenVBand="0" w:oddHBand="0" w:evenHBand="0" w:firstRowFirstColumn="0" w:firstRowLastColumn="0" w:lastRowFirstColumn="0" w:lastRowLastColumn="0"/>
          <w:hidden w:val="0"/>
        </w:trPr>
        <w:tc>
          <w:tcPr>
            <w:tcW w:type="dxa" w:w="1704"/>
            <w:cnfStyle w:val="101000001000" w:firstRow="1" w:lastRow="0" w:firstColumn="1" w:lastColumn="0" w:oddVBand="0" w:evenVBand="0" w:oddHBand="0" w:evenHBand="0" w:firstRowFirstColumn="1" w:firstRowLastColumn="0" w:lastRowFirstColumn="0" w:lastRowLastColumn="0"/>
            <w:vAlign w:val="top"/>
            <w:vMerge w:val="restart"/>
          </w:tcPr>
          <w:p>
            <w:pPr>
              <w:numPr>
                <w:ilvl w:val="0"/>
                <w:numId w:val="0"/>
              </w:numPr>
              <w:jc w:val="center"/>
              <w:spacing w:lineRule="auto" w:line="240" w:before="0" w:after="0"/>
              <w:ind w:right="0" w:firstLine="0"/>
              <w:tabs>
                <w:tab w:val="left" w:pos="880"/>
              </w:tabs>
              <w:rPr>
                <w:color w:val="auto"/>
                <w:position w:val="0"/>
                <w:sz w:val="24"/>
                <w:szCs w:val="24"/>
                <w:rFonts w:ascii="仿宋" w:eastAsia="仿宋" w:hAnsi="仿宋" w:hint="default"/>
              </w:rPr>
              <w:autoSpaceDE w:val="1"/>
              <w:autoSpaceDN w:val="1"/>
            </w:pPr>
            <w:r>
              <w:rPr>
                <w:sz w:val="20"/>
              </w:rPr>
              <w:pict>
                <v:shapetype id="_x0000_t32" coordsize="21600,21600" o:spt="32" o:preferrelative="t" path="m,l21600,21600e" o:oned="t" filled="f">
                  <v:path arrowok="t" fillok="f" o:connecttype="none"/>
                  <o:lock v:ext="edit" shapetype="t"/>
                </v:shapetype>
                <v:shape id="_x0000_s10" type="#_x0000_t32" style="position:absolute;left:0;margin-left:-5pt;mso-position-horizontal:absolute;mso-position-horizontal-relative:text;margin-top:2pt;mso-position-vertical:absolute;mso-position-vertical-relative:text;width:83.7pt;height:26.2pt;z-index:251624964" strokecolor="black" o:allowoverlap="0" strokeweight="0pt" filled="f" o:connectortype="straight"/>
              </w:pict>
            </w:r>
            <w:r>
              <w:rPr>
                <w:color w:val="auto"/>
                <w:position w:val="0"/>
                <w:sz w:val="24"/>
                <w:szCs w:val="24"/>
                <w:rFonts w:ascii="仿宋" w:eastAsia="仿宋" w:hAnsi="仿宋" w:hint="default"/>
              </w:rPr>
              <w:t>医院</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级别</w:t>
            </w:r>
          </w:p>
        </w:tc>
        <w:tc>
          <w:tcPr>
            <w:tcW w:type="dxa" w:w="3649"/>
            <w:cnfStyle w:val="100000000000" w:firstRow="1" w:lastRow="0" w:firstColumn="0" w:lastColumn="0" w:oddVBand="0" w:evenVBand="0" w:oddHBand="0" w:evenHBand="0" w:firstRowFirstColumn="0" w:firstRowLastColumn="0" w:lastRowFirstColumn="0" w:lastRowLastColumn="0"/>
            <w:vAlign w:val="top"/>
            <w:gridSpan w:val="2"/>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县域</w:t>
            </w:r>
          </w:p>
        </w:tc>
        <w:tc>
          <w:tcPr>
            <w:tcW w:type="dxa" w:w="3686"/>
            <w:cnfStyle w:val="100000000100" w:firstRow="1" w:lastRow="0" w:firstColumn="0" w:lastColumn="0" w:oddVBand="0" w:evenVBand="0" w:oddHBand="0" w:evenHBand="0" w:firstRowFirstColumn="0" w:firstRowLastColumn="1" w:lastRowFirstColumn="0" w:lastRowLastColumn="0"/>
            <w:vAlign w:val="top"/>
            <w:gridSpan w:val="2"/>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市区</w:t>
            </w:r>
          </w:p>
        </w:tc>
      </w:tr>
      <w:tr>
        <w:trPr>
          <w:cnfStyle w:val="000000100000" w:firstRow="0" w:lastRow="0" w:firstColumn="0" w:lastColumn="0" w:oddVBand="0" w:evenVBand="0" w:oddHBand="1" w:evenHBand="0" w:firstRowFirstColumn="0" w:firstRowLastColumn="0" w:lastRowFirstColumn="0" w:lastRowLastColumn="0"/>
          <w:hidden w:val="0"/>
        </w:trPr>
        <w:tc>
          <w:tcPr>
            <w:tcW w:type="dxa" w:w="1704"/>
            <w:cnfStyle w:val="101000001000" w:firstRow="1" w:lastRow="0" w:firstColumn="1" w:lastColumn="0" w:oddVBand="0" w:evenVBand="0" w:oddHBand="0" w:evenHBand="0" w:firstRowFirstColumn="1" w:firstRowLastColumn="0" w:lastRowFirstColumn="0" w:lastRowLastColumn="0"/>
            <w:vAlign w:val="top"/>
            <w:vMerge/>
          </w:tcPr>
          <w:p/>
        </w:tc>
        <w:tc>
          <w:tcPr>
            <w:tcW w:type="dxa" w:w="1704"/>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起付线（元）</w:t>
            </w:r>
          </w:p>
        </w:tc>
        <w:tc>
          <w:tcPr>
            <w:tcW w:type="dxa" w:w="1945"/>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支付比例（%）</w:t>
            </w:r>
          </w:p>
        </w:tc>
        <w:tc>
          <w:tcPr>
            <w:tcW w:type="dxa" w:w="1701"/>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起付线（元）</w:t>
            </w:r>
          </w:p>
        </w:tc>
        <w:tc>
          <w:tcPr>
            <w:tcW w:type="dxa" w:w="1985"/>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支付比例（%）</w:t>
            </w:r>
          </w:p>
        </w:tc>
      </w:tr>
      <w:tr>
        <w:trPr>
          <w:cnfStyle w:val="000000010000" w:firstRow="0" w:lastRow="0" w:firstColumn="0" w:lastColumn="0" w:oddVBand="0" w:evenVBand="0" w:oddHBand="0" w:evenHBand="1" w:firstRowFirstColumn="0" w:firstRowLastColumn="0" w:lastRowFirstColumn="0" w:lastRowLastColumn="0"/>
          <w:hidden w:val="0"/>
        </w:trPr>
        <w:tc>
          <w:tcPr>
            <w:tcW w:type="dxa" w:w="1704"/>
            <w:cnfStyle w:val="001000010000" w:firstRow="0" w:lastRow="0" w:firstColumn="1"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一级及以下</w:t>
            </w:r>
          </w:p>
        </w:tc>
        <w:tc>
          <w:tcPr>
            <w:tcW w:type="dxa" w:w="1704"/>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100</w:t>
            </w:r>
          </w:p>
        </w:tc>
        <w:tc>
          <w:tcPr>
            <w:tcW w:type="dxa" w:w="1945"/>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92</w:t>
            </w:r>
          </w:p>
        </w:tc>
        <w:tc>
          <w:tcPr>
            <w:tcW w:type="dxa" w:w="1701"/>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200</w:t>
            </w:r>
          </w:p>
        </w:tc>
        <w:tc>
          <w:tcPr>
            <w:tcW w:type="dxa" w:w="1985"/>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90</w:t>
            </w:r>
          </w:p>
        </w:tc>
      </w:tr>
      <w:tr>
        <w:trPr>
          <w:cnfStyle w:val="000000100000" w:firstRow="0" w:lastRow="0" w:firstColumn="0" w:lastColumn="0" w:oddVBand="0" w:evenVBand="0" w:oddHBand="1" w:evenHBand="0" w:firstRowFirstColumn="0" w:firstRowLastColumn="0" w:lastRowFirstColumn="0" w:lastRowLastColumn="0"/>
          <w:hidden w:val="0"/>
        </w:trPr>
        <w:tc>
          <w:tcPr>
            <w:tcW w:type="dxa" w:w="1704"/>
            <w:cnfStyle w:val="001000100000" w:firstRow="0" w:lastRow="0" w:firstColumn="1"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二级</w:t>
            </w:r>
          </w:p>
        </w:tc>
        <w:tc>
          <w:tcPr>
            <w:tcW w:type="dxa" w:w="1704"/>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400</w:t>
            </w:r>
          </w:p>
        </w:tc>
        <w:tc>
          <w:tcPr>
            <w:tcW w:type="dxa" w:w="1945"/>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80</w:t>
            </w:r>
          </w:p>
        </w:tc>
        <w:tc>
          <w:tcPr>
            <w:tcW w:type="dxa" w:w="1701"/>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800</w:t>
            </w:r>
          </w:p>
        </w:tc>
        <w:tc>
          <w:tcPr>
            <w:tcW w:type="dxa" w:w="1985"/>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75</w:t>
            </w:r>
          </w:p>
        </w:tc>
      </w:tr>
      <w:tr>
        <w:trPr>
          <w:cnfStyle w:val="000000010000" w:firstRow="0" w:lastRow="0" w:firstColumn="0" w:lastColumn="0" w:oddVBand="0" w:evenVBand="0" w:oddHBand="0" w:evenHBand="1" w:firstRowFirstColumn="0" w:firstRowLastColumn="0" w:lastRowFirstColumn="0" w:lastRowLastColumn="0"/>
          <w:hidden w:val="0"/>
        </w:trPr>
        <w:tc>
          <w:tcPr>
            <w:tcW w:type="dxa" w:w="1704"/>
            <w:cnfStyle w:val="001000010000" w:firstRow="0" w:lastRow="0" w:firstColumn="1"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市属三级</w:t>
            </w:r>
          </w:p>
        </w:tc>
        <w:tc>
          <w:tcPr>
            <w:tcW w:type="dxa" w:w="3649"/>
            <w:cnfStyle w:val="000000010000" w:firstRow="0" w:lastRow="0" w:firstColumn="0" w:lastColumn="0" w:oddVBand="0" w:evenVBand="0" w:oddHBand="0" w:evenHBand="1" w:firstRowFirstColumn="0" w:firstRowLastColumn="0" w:lastRowFirstColumn="0" w:lastRowLastColumn="0"/>
            <w:vAlign w:val="top"/>
            <w:gridSpan w:val="2"/>
            <w:vMerge w:val="restart"/>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p>
        </w:tc>
        <w:tc>
          <w:tcPr>
            <w:tcW w:type="dxa" w:w="1701"/>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1000</w:t>
            </w:r>
          </w:p>
        </w:tc>
        <w:tc>
          <w:tcPr>
            <w:tcW w:type="dxa" w:w="1985"/>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65</w:t>
            </w:r>
          </w:p>
        </w:tc>
      </w:tr>
      <w:tr>
        <w:trPr>
          <w:cnfStyle w:val="000000100000" w:firstRow="0" w:lastRow="0" w:firstColumn="0" w:lastColumn="0" w:oddVBand="0" w:evenVBand="0" w:oddHBand="1" w:evenHBand="0" w:firstRowFirstColumn="0" w:firstRowLastColumn="0" w:lastRowFirstColumn="0" w:lastRowLastColumn="0"/>
          <w:hidden w:val="0"/>
        </w:trPr>
        <w:tc>
          <w:tcPr>
            <w:tcW w:type="dxa" w:w="1704"/>
            <w:cnfStyle w:val="001000100000" w:firstRow="0" w:lastRow="0" w:firstColumn="1"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省属三级</w:t>
            </w:r>
          </w:p>
        </w:tc>
        <w:tc>
          <w:tcPr>
            <w:tcW w:type="dxa" w:w="3649"/>
            <w:cnfStyle w:val="000000010000" w:firstRow="0" w:lastRow="0" w:firstColumn="0" w:lastColumn="0" w:oddVBand="0" w:evenVBand="0" w:oddHBand="0" w:evenHBand="1" w:firstRowFirstColumn="0" w:firstRowLastColumn="0" w:lastRowFirstColumn="0" w:lastRowLastColumn="0"/>
            <w:vAlign w:val="top"/>
            <w:gridSpan w:val="2"/>
            <w:vMerge/>
          </w:tcPr>
          <w:p/>
        </w:tc>
        <w:tc>
          <w:tcPr>
            <w:tcW w:type="dxa" w:w="1701"/>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1500</w:t>
            </w:r>
          </w:p>
        </w:tc>
        <w:tc>
          <w:tcPr>
            <w:tcW w:type="dxa" w:w="1985"/>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60</w:t>
            </w:r>
          </w:p>
        </w:tc>
      </w:tr>
    </w:tbl>
    <w:p>
      <w:pPr>
        <w:numPr>
          <w:ilvl w:val="0"/>
          <w:numId w:val="0"/>
        </w:numPr>
        <w:jc w:val="left"/>
        <w:spacing w:lineRule="auto" w:line="24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3.河北省外住院待遇：</w:t>
      </w:r>
    </w:p>
    <w:tbl>
      <w:tblID w:val="0"/>
      <w:tblPr>
        <w:tblStyle w:val="PO38"/>
        <w:tblCellMar>
          <w:left w:w="108" w:type="dxa"/>
          <w:top w:w="0" w:type="dxa"/>
          <w:right w:w="108" w:type="dxa"/>
          <w:bottom w:w="0" w:type="dxa"/>
        </w:tblCellMar>
        <w:tblW w:w="9058" w:type="dxa"/>
        <w:tblLook w:val="0004A0" w:firstRow="1" w:lastRow="0" w:firstColumn="1" w:lastColumn="0" w:noHBand="0" w:noVBand="1"/>
        <w:tblLayout w:type="fixed"/>
      </w:tblPr>
      <w:tblGrid>
        <w:gridCol w:w="977"/>
        <w:gridCol w:w="1576"/>
        <w:gridCol w:w="1417"/>
        <w:gridCol w:w="1418"/>
        <w:gridCol w:w="1666"/>
        <w:gridCol w:w="2004"/>
      </w:tblGrid>
      <w:tr>
        <w:trPr>
          <w:cnfStyle w:val="100000000000" w:firstRow="1" w:lastRow="0" w:firstColumn="0" w:lastColumn="0" w:oddVBand="0" w:evenVBand="0" w:oddHBand="0" w:evenHBand="0" w:firstRowFirstColumn="0" w:firstRowLastColumn="0" w:lastRowFirstColumn="0" w:lastRowLastColumn="0"/>
          <w:hidden w:val="0"/>
        </w:trPr>
        <w:tc>
          <w:tcPr>
            <w:tcW w:type="dxa" w:w="977"/>
            <w:cnfStyle w:val="101000001000" w:firstRow="1" w:lastRow="0" w:firstColumn="1" w:lastColumn="0" w:oddVBand="0" w:evenVBand="0" w:oddHBand="0" w:evenHBand="0" w:firstRowFirstColumn="1"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是否</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备案</w:t>
            </w:r>
          </w:p>
        </w:tc>
        <w:tc>
          <w:tcPr>
            <w:tcW w:type="dxa" w:w="1576"/>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协议医疗</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机构</w:t>
            </w:r>
          </w:p>
        </w:tc>
        <w:tc>
          <w:tcPr>
            <w:tcW w:type="dxa" w:w="1417"/>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医院</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级别</w:t>
            </w:r>
          </w:p>
        </w:tc>
        <w:tc>
          <w:tcPr>
            <w:tcW w:type="dxa" w:w="1418"/>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起付线（</w:t>
            </w:r>
            <w:r>
              <w:rPr>
                <w:color w:val="auto"/>
                <w:position w:val="0"/>
                <w:sz w:val="24"/>
                <w:szCs w:val="24"/>
                <w:rFonts w:ascii="仿宋" w:eastAsia="仿宋" w:hAnsi="仿宋" w:hint="default"/>
              </w:rPr>
              <w:t>元）</w:t>
            </w:r>
          </w:p>
        </w:tc>
        <w:tc>
          <w:tcPr>
            <w:tcW w:type="dxa" w:w="1666"/>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支付比例（</w:t>
            </w:r>
            <w:r>
              <w:rPr>
                <w:color w:val="auto"/>
                <w:position w:val="0"/>
                <w:sz w:val="24"/>
                <w:szCs w:val="24"/>
                <w:rFonts w:ascii="仿宋" w:eastAsia="仿宋" w:hAnsi="仿宋" w:hint="default"/>
              </w:rPr>
              <w:t>%）</w:t>
            </w:r>
          </w:p>
        </w:tc>
        <w:tc>
          <w:tcPr>
            <w:tcW w:type="dxa" w:w="2004"/>
            <w:cnfStyle w:val="100000000100" w:firstRow="1" w:lastRow="0" w:firstColumn="0" w:lastColumn="0" w:oddVBand="0" w:evenVBand="0" w:oddHBand="0" w:evenHBand="0" w:firstRowFirstColumn="0" w:firstRowLastColumn="1"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是否计入</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大病保险</w:t>
            </w:r>
          </w:p>
        </w:tc>
      </w:tr>
      <w:tr>
        <w:trPr>
          <w:cnfStyle w:val="000000100000" w:firstRow="0" w:lastRow="0" w:firstColumn="0" w:lastColumn="0" w:oddVBand="0" w:evenVBand="0" w:oddHBand="1" w:evenHBand="0" w:firstRowFirstColumn="0" w:firstRowLastColumn="0" w:lastRowFirstColumn="0" w:lastRowLastColumn="0"/>
          <w:hidden w:val="0"/>
        </w:trPr>
        <w:tc>
          <w:tcPr>
            <w:tcW w:type="dxa" w:w="977"/>
            <w:cnfStyle w:val="001000100000" w:firstRow="0" w:lastRow="0" w:firstColumn="1" w:lastColumn="0" w:oddVBand="0" w:evenVBand="0" w:oddHBand="1" w:evenHBand="0" w:firstRowFirstColumn="0" w:firstRowLastColumn="0" w:lastRowFirstColumn="0" w:lastRowLastColumn="0"/>
            <w:vAlign w:val="center"/>
            <w:vMerge w:val="restart"/>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已备案</w:t>
            </w:r>
          </w:p>
        </w:tc>
        <w:tc>
          <w:tcPr>
            <w:tcW w:type="dxa" w:w="1576"/>
            <w:cnfStyle w:val="000000100000" w:firstRow="0" w:lastRow="0" w:firstColumn="0" w:lastColumn="0" w:oddVBand="0" w:evenVBand="0" w:oddHBand="1" w:evenHBand="0" w:firstRowFirstColumn="0" w:firstRowLastColumn="0" w:lastRowFirstColumn="0" w:lastRowLastColumn="0"/>
            <w:vAlign w:val="center"/>
            <w:vMerge w:val="restart"/>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省内</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市域外</w:t>
            </w:r>
          </w:p>
        </w:tc>
        <w:tc>
          <w:tcPr>
            <w:tcW w:type="dxa" w:w="1417"/>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一级</w:t>
            </w:r>
          </w:p>
        </w:tc>
        <w:tc>
          <w:tcPr>
            <w:tcW w:type="dxa" w:w="1418"/>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200</w:t>
            </w:r>
          </w:p>
        </w:tc>
        <w:tc>
          <w:tcPr>
            <w:tcW w:type="dxa" w:w="166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90</w:t>
            </w:r>
          </w:p>
        </w:tc>
        <w:tc>
          <w:tcPr>
            <w:tcW w:type="dxa" w:w="200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w:t>
            </w:r>
          </w:p>
        </w:tc>
      </w:tr>
      <w:tr>
        <w:trPr>
          <w:cnfStyle w:val="000000010000" w:firstRow="0" w:lastRow="0" w:firstColumn="0" w:lastColumn="0" w:oddVBand="0" w:evenVBand="0" w:oddHBand="0" w:evenHBand="1" w:firstRowFirstColumn="0" w:firstRowLastColumn="0" w:lastRowFirstColumn="0" w:lastRowLastColumn="0"/>
          <w:hidden w:val="0"/>
        </w:trPr>
        <w:tc>
          <w:tcPr>
            <w:tcW w:type="dxa" w:w="977"/>
            <w:cnfStyle w:val="001000100000" w:firstRow="0" w:lastRow="0" w:firstColumn="1" w:lastColumn="0" w:oddVBand="0" w:evenVBand="0" w:oddHBand="1" w:evenHBand="0" w:firstRowFirstColumn="0" w:firstRowLastColumn="0" w:lastRowFirstColumn="0" w:lastRowLastColumn="0"/>
            <w:vAlign w:val="center"/>
            <w:vMerge/>
          </w:tcPr>
          <w:p/>
        </w:tc>
        <w:tc>
          <w:tcPr>
            <w:tcW w:type="dxa" w:w="1576"/>
            <w:cnfStyle w:val="000000100000" w:firstRow="0" w:lastRow="0" w:firstColumn="0" w:lastColumn="0" w:oddVBand="0" w:evenVBand="0" w:oddHBand="1" w:evenHBand="0" w:firstRowFirstColumn="0" w:firstRowLastColumn="0" w:lastRowFirstColumn="0" w:lastRowLastColumn="0"/>
            <w:vAlign w:val="center"/>
            <w:vMerge/>
          </w:tcPr>
          <w:p/>
        </w:tc>
        <w:tc>
          <w:tcPr>
            <w:tcW w:type="dxa" w:w="1417"/>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二级</w:t>
            </w:r>
          </w:p>
        </w:tc>
        <w:tc>
          <w:tcPr>
            <w:tcW w:type="dxa" w:w="1418"/>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800</w:t>
            </w:r>
          </w:p>
        </w:tc>
        <w:tc>
          <w:tcPr>
            <w:tcW w:type="dxa" w:w="166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75</w:t>
            </w:r>
          </w:p>
        </w:tc>
        <w:tc>
          <w:tcPr>
            <w:tcW w:type="dxa" w:w="200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w:t>
            </w:r>
          </w:p>
        </w:tc>
      </w:tr>
      <w:tr>
        <w:trPr>
          <w:cnfStyle w:val="000000100000" w:firstRow="0" w:lastRow="0" w:firstColumn="0" w:lastColumn="0" w:oddVBand="0" w:evenVBand="0" w:oddHBand="1" w:evenHBand="0" w:firstRowFirstColumn="0" w:firstRowLastColumn="0" w:lastRowFirstColumn="0" w:lastRowLastColumn="0"/>
          <w:hidden w:val="0"/>
        </w:trPr>
        <w:tc>
          <w:tcPr>
            <w:tcW w:type="dxa" w:w="977"/>
            <w:cnfStyle w:val="001000100000" w:firstRow="0" w:lastRow="0" w:firstColumn="1" w:lastColumn="0" w:oddVBand="0" w:evenVBand="0" w:oddHBand="1" w:evenHBand="0" w:firstRowFirstColumn="0" w:firstRowLastColumn="0" w:lastRowFirstColumn="0" w:lastRowLastColumn="0"/>
            <w:vAlign w:val="center"/>
            <w:vMerge/>
          </w:tcPr>
          <w:p/>
        </w:tc>
        <w:tc>
          <w:tcPr>
            <w:tcW w:type="dxa" w:w="1576"/>
            <w:cnfStyle w:val="000000100000" w:firstRow="0" w:lastRow="0" w:firstColumn="0" w:lastColumn="0" w:oddVBand="0" w:evenVBand="0" w:oddHBand="1" w:evenHBand="0" w:firstRowFirstColumn="0" w:firstRowLastColumn="0" w:lastRowFirstColumn="0" w:lastRowLastColumn="0"/>
            <w:vAlign w:val="center"/>
            <w:vMerge/>
          </w:tcPr>
          <w:p/>
        </w:tc>
        <w:tc>
          <w:tcPr>
            <w:tcW w:type="dxa" w:w="1417"/>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三级</w:t>
            </w:r>
          </w:p>
        </w:tc>
        <w:tc>
          <w:tcPr>
            <w:tcW w:type="dxa" w:w="1418"/>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1500</w:t>
            </w:r>
          </w:p>
        </w:tc>
        <w:tc>
          <w:tcPr>
            <w:tcW w:type="dxa" w:w="166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60</w:t>
            </w:r>
          </w:p>
        </w:tc>
        <w:tc>
          <w:tcPr>
            <w:tcW w:type="dxa" w:w="200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w:t>
            </w:r>
          </w:p>
        </w:tc>
      </w:tr>
      <w:tr>
        <w:trPr>
          <w:cnfStyle w:val="000000010000" w:firstRow="0" w:lastRow="0" w:firstColumn="0" w:lastColumn="0" w:oddVBand="0" w:evenVBand="0" w:oddHBand="0" w:evenHBand="1" w:firstRowFirstColumn="0" w:firstRowLastColumn="0" w:lastRowFirstColumn="0" w:lastRowLastColumn="0"/>
          <w:trHeight w:hRule="atleast" w:val="726"/>
          <w:hidden w:val="0"/>
        </w:trPr>
        <w:tc>
          <w:tcPr>
            <w:tcW w:type="dxa" w:w="977"/>
            <w:cnfStyle w:val="001000100000" w:firstRow="0" w:lastRow="0" w:firstColumn="1" w:lastColumn="0" w:oddVBand="0" w:evenVBand="0" w:oddHBand="1" w:evenHBand="0" w:firstRowFirstColumn="0" w:firstRowLastColumn="0" w:lastRowFirstColumn="0" w:lastRowLastColumn="0"/>
            <w:vAlign w:val="center"/>
            <w:vMerge/>
          </w:tcPr>
          <w:p/>
        </w:tc>
        <w:tc>
          <w:tcPr>
            <w:tcW w:type="dxa" w:w="157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京津冀</w:t>
            </w:r>
          </w:p>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协议医院</w:t>
            </w:r>
          </w:p>
        </w:tc>
        <w:tc>
          <w:tcPr>
            <w:tcW w:type="dxa" w:w="1417"/>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三级</w:t>
            </w:r>
          </w:p>
        </w:tc>
        <w:tc>
          <w:tcPr>
            <w:tcW w:type="dxa" w:w="1418"/>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1500</w:t>
            </w:r>
          </w:p>
        </w:tc>
        <w:tc>
          <w:tcPr>
            <w:tcW w:type="dxa" w:w="166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60</w:t>
            </w:r>
          </w:p>
        </w:tc>
        <w:tc>
          <w:tcPr>
            <w:tcW w:type="dxa" w:w="200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w:t>
            </w:r>
          </w:p>
        </w:tc>
      </w:tr>
      <w:tr>
        <w:trPr>
          <w:cnfStyle w:val="000000100000" w:firstRow="0" w:lastRow="0" w:firstColumn="0" w:lastColumn="0" w:oddVBand="0" w:evenVBand="0" w:oddHBand="1" w:evenHBand="0" w:firstRowFirstColumn="0" w:firstRowLastColumn="0" w:lastRowFirstColumn="0" w:lastRowLastColumn="0"/>
          <w:hidden w:val="0"/>
        </w:trPr>
        <w:tc>
          <w:tcPr>
            <w:tcW w:type="dxa" w:w="977"/>
            <w:cnfStyle w:val="001000100000" w:firstRow="0" w:lastRow="0" w:firstColumn="1" w:lastColumn="0" w:oddVBand="0" w:evenVBand="0" w:oddHBand="1" w:evenHBand="0" w:firstRowFirstColumn="0" w:firstRowLastColumn="0" w:lastRowFirstColumn="0" w:lastRowLastColumn="0"/>
            <w:vAlign w:val="center"/>
            <w:vMerge/>
          </w:tcPr>
          <w:p/>
        </w:tc>
        <w:tc>
          <w:tcPr>
            <w:tcW w:type="dxa" w:w="157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省外</w:t>
            </w:r>
          </w:p>
        </w:tc>
        <w:tc>
          <w:tcPr>
            <w:tcW w:type="dxa" w:w="1417"/>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p>
        </w:tc>
        <w:tc>
          <w:tcPr>
            <w:tcW w:type="dxa" w:w="1418"/>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3000</w:t>
            </w:r>
          </w:p>
        </w:tc>
        <w:tc>
          <w:tcPr>
            <w:tcW w:type="dxa" w:w="166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45</w:t>
            </w:r>
          </w:p>
        </w:tc>
        <w:tc>
          <w:tcPr>
            <w:tcW w:type="dxa" w:w="200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是</w:t>
            </w:r>
          </w:p>
        </w:tc>
      </w:tr>
      <w:tr>
        <w:trPr>
          <w:cnfStyle w:val="000000010000" w:firstRow="0" w:lastRow="0" w:firstColumn="0" w:lastColumn="0" w:oddVBand="0" w:evenVBand="0" w:oddHBand="0" w:evenHBand="1" w:firstRowFirstColumn="0" w:firstRowLastColumn="0" w:lastRowFirstColumn="0" w:lastRowLastColumn="0"/>
          <w:trHeight w:hRule="atleast" w:val="507"/>
          <w:cantSplit/>
          <w:hidden w:val="0"/>
        </w:trPr>
        <w:tc>
          <w:tcPr>
            <w:tcW w:type="dxa" w:w="977"/>
            <w:cnfStyle w:val="001000010000" w:firstRow="0" w:lastRow="0" w:firstColumn="1"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未备案</w:t>
            </w:r>
          </w:p>
        </w:tc>
        <w:tc>
          <w:tcPr>
            <w:tcW w:type="dxa" w:w="157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p>
        </w:tc>
        <w:tc>
          <w:tcPr>
            <w:tcW w:type="dxa" w:w="1417"/>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p>
        </w:tc>
        <w:tc>
          <w:tcPr>
            <w:tcW w:type="dxa" w:w="1418"/>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4000</w:t>
            </w:r>
          </w:p>
        </w:tc>
        <w:tc>
          <w:tcPr>
            <w:tcW w:type="dxa" w:w="166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30</w:t>
            </w:r>
          </w:p>
        </w:tc>
        <w:tc>
          <w:tcPr>
            <w:tcW w:type="dxa" w:w="200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auto" w:line="240" w:before="0" w:after="0"/>
              <w:ind w:right="0" w:firstLine="0"/>
              <w:rPr>
                <w:color w:val="auto"/>
                <w:position w:val="0"/>
                <w:sz w:val="24"/>
                <w:szCs w:val="24"/>
                <w:rFonts w:ascii="仿宋" w:eastAsia="仿宋" w:hAnsi="仿宋" w:hint="default"/>
              </w:rPr>
              <w:autoSpaceDE w:val="1"/>
              <w:autoSpaceDN w:val="1"/>
            </w:pPr>
            <w:r>
              <w:rPr>
                <w:color w:val="auto"/>
                <w:position w:val="0"/>
                <w:sz w:val="24"/>
                <w:szCs w:val="24"/>
                <w:rFonts w:ascii="仿宋" w:eastAsia="仿宋" w:hAnsi="仿宋" w:hint="default"/>
              </w:rPr>
              <w:t>否</w:t>
            </w:r>
          </w:p>
        </w:tc>
      </w:tr>
    </w:tbl>
    <w:p>
      <w:pPr>
        <w:numPr>
          <w:ilvl w:val="0"/>
          <w:numId w:val="0"/>
        </w:numPr>
        <w:jc w:val="left"/>
        <w:spacing w:lineRule="auto" w:line="24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自2021年9月1日起，我省率先实现“省内住院无异地”，参保大学生可以在参保</w:t>
      </w:r>
      <w:r>
        <w:rPr>
          <w:color w:val="auto"/>
          <w:position w:val="0"/>
          <w:sz w:val="28"/>
          <w:szCs w:val="28"/>
          <w:rFonts w:ascii="仿宋" w:eastAsia="仿宋" w:hAnsi="仿宋" w:hint="default"/>
        </w:rPr>
        <w:t>期内持河北省社会保障卡在全省范围内医保定点医院持卡结算住院费。</w:t>
      </w:r>
    </w:p>
    <w:p>
      <w:pPr>
        <w:numPr>
          <w:ilvl w:val="0"/>
          <w:numId w:val="0"/>
        </w:numPr>
        <w:jc w:val="left"/>
        <w:spacing w:lineRule="auto" w:line="24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4.分娩住院医疗费，使用基本医保基金限额支付。</w:t>
      </w:r>
    </w:p>
    <w:p>
      <w:pPr>
        <w:numPr>
          <w:ilvl w:val="0"/>
          <w:numId w:val="0"/>
        </w:numPr>
        <w:jc w:val="left"/>
        <w:spacing w:lineRule="auto" w:line="24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自然分娩的500元；剖宫产的1000元。</w:t>
      </w:r>
    </w:p>
    <w:p>
      <w:pPr>
        <w:numPr>
          <w:ilvl w:val="0"/>
          <w:numId w:val="0"/>
        </w:numPr>
        <w:jc w:val="left"/>
        <w:spacing w:lineRule="auto" w:line="240" w:before="0" w:after="0"/>
        <w:ind w:right="0" w:firstLine="42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5.大中专学生门诊就医待遇：</w:t>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（1）患有我市规定的慢性病病种、特殊病（特药使用）病种、危重抢救病种及需要采</w:t>
      </w:r>
      <w:r>
        <w:rPr>
          <w:color w:val="auto"/>
          <w:position w:val="0"/>
          <w:sz w:val="28"/>
          <w:szCs w:val="28"/>
          <w:rFonts w:ascii="仿宋" w:eastAsia="仿宋" w:hAnsi="仿宋" w:hint="default"/>
        </w:rPr>
        <w:t>取药物治疗的“两病”患者（不含已通过居民医保“两病”门诊慢性病、特殊病评审人</w:t>
      </w:r>
      <w:r>
        <w:rPr>
          <w:color w:val="auto"/>
          <w:position w:val="0"/>
          <w:sz w:val="28"/>
          <w:szCs w:val="28"/>
          <w:rFonts w:ascii="仿宋" w:eastAsia="仿宋" w:hAnsi="仿宋" w:hint="default"/>
        </w:rPr>
        <w:t>员）的，通过认定后，均可享受相应的医保待遇。</w:t>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（2）学校校医院报销参保大学生50%门诊转诊费用，每年最高限额2000元。</w:t>
      </w:r>
    </w:p>
    <w:p>
      <w:pPr>
        <w:numPr>
          <w:ilvl w:val="0"/>
          <w:numId w:val="0"/>
        </w:numPr>
        <w:jc w:val="left"/>
        <w:spacing w:lineRule="auto" w:line="240" w:before="0" w:after="0"/>
        <w:ind w:right="0" w:firstLine="0"/>
        <w:rPr>
          <w:b w:val="1"/>
          <w:color w:val="auto"/>
          <w:position w:val="0"/>
          <w:sz w:val="28"/>
          <w:szCs w:val="28"/>
          <w:rFonts w:ascii="仿宋" w:eastAsia="仿宋" w:hAnsi="仿宋" w:hint="default"/>
        </w:rPr>
        <w:autoSpaceDE w:val="1"/>
        <w:autoSpaceDN w:val="1"/>
      </w:pPr>
      <w:r>
        <w:rPr>
          <w:b w:val="1"/>
          <w:color w:val="auto"/>
          <w:position w:val="0"/>
          <w:sz w:val="28"/>
          <w:szCs w:val="28"/>
          <w:rFonts w:ascii="仿宋" w:eastAsia="仿宋" w:hAnsi="仿宋" w:hint="default"/>
        </w:rPr>
        <w:t>四、异地就医备案及就医待遇</w:t>
      </w:r>
    </w:p>
    <w:p>
      <w:pPr>
        <w:numPr>
          <w:ilvl w:val="0"/>
          <w:numId w:val="0"/>
        </w:numPr>
        <w:jc w:val="left"/>
        <w:spacing w:lineRule="auto" w:line="240" w:before="0" w:after="0"/>
        <w:ind w:right="0" w:firstLine="636"/>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1.异地就医备案:通过关注“河北省医疗保障局”微信公众号自助办理，办理成功后</w:t>
      </w:r>
      <w:r>
        <w:rPr>
          <w:color w:val="auto"/>
          <w:position w:val="0"/>
          <w:sz w:val="28"/>
          <w:szCs w:val="28"/>
          <w:rFonts w:ascii="仿宋" w:eastAsia="仿宋" w:hAnsi="仿宋" w:hint="default"/>
        </w:rPr>
        <w:t>可以持我市社会保障卡在省外的医保协议医疗机构住院就医直接结算。自2021年9月1</w:t>
      </w:r>
      <w:r>
        <w:rPr>
          <w:color w:val="auto"/>
          <w:position w:val="0"/>
          <w:sz w:val="28"/>
          <w:szCs w:val="28"/>
          <w:rFonts w:ascii="仿宋" w:eastAsia="仿宋" w:hAnsi="仿宋" w:hint="default"/>
        </w:rPr>
        <w:t>日起，我省率先实现“省内住院无异地”，参保大学生可以在参保期内持河北省社会保</w:t>
      </w:r>
      <w:r>
        <w:rPr>
          <w:color w:val="auto"/>
          <w:position w:val="0"/>
          <w:sz w:val="28"/>
          <w:szCs w:val="28"/>
          <w:rFonts w:ascii="仿宋" w:eastAsia="仿宋" w:hAnsi="仿宋" w:hint="default"/>
        </w:rPr>
        <w:t>障卡在全省范围内医保定点医院持卡结算住院费。</w:t>
      </w:r>
    </w:p>
    <w:p>
      <w:pPr>
        <w:numPr>
          <w:ilvl w:val="0"/>
          <w:numId w:val="0"/>
        </w:numPr>
        <w:jc w:val="left"/>
        <w:spacing w:lineRule="auto" w:line="240" w:before="0" w:after="0"/>
        <w:ind w:right="0" w:firstLine="636"/>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2.就医待遇:直接结算的住院医疗费，执行就医地规定的支付范围及有关规定。医保</w:t>
      </w:r>
      <w:r>
        <w:rPr>
          <w:color w:val="auto"/>
          <w:position w:val="0"/>
          <w:sz w:val="28"/>
          <w:szCs w:val="28"/>
          <w:rFonts w:ascii="仿宋" w:eastAsia="仿宋" w:hAnsi="仿宋" w:hint="default"/>
        </w:rPr>
        <w:t>基金起付标准，支付比例、最高支付限额等执行参保地医疗机构的待遇。</w:t>
      </w:r>
    </w:p>
    <w:p>
      <w:pPr>
        <w:numPr>
          <w:ilvl w:val="0"/>
          <w:numId w:val="0"/>
        </w:numPr>
        <w:jc w:val="left"/>
        <w:spacing w:lineRule="auto" w:line="240" w:before="0" w:after="0"/>
        <w:ind w:right="0" w:firstLine="0"/>
        <w:rPr>
          <w:b w:val="1"/>
          <w:color w:val="auto"/>
          <w:position w:val="0"/>
          <w:sz w:val="28"/>
          <w:szCs w:val="28"/>
          <w:rFonts w:ascii="仿宋" w:eastAsia="仿宋" w:hAnsi="仿宋" w:hint="default"/>
        </w:rPr>
        <w:autoSpaceDE w:val="1"/>
        <w:autoSpaceDN w:val="1"/>
      </w:pPr>
      <w:r>
        <w:rPr>
          <w:b w:val="1"/>
          <w:color w:val="auto"/>
          <w:position w:val="0"/>
          <w:sz w:val="28"/>
          <w:szCs w:val="28"/>
          <w:rFonts w:ascii="仿宋" w:eastAsia="仿宋" w:hAnsi="仿宋" w:hint="default"/>
        </w:rPr>
        <w:t>五、年度保障限额</w:t>
      </w:r>
    </w:p>
    <w:p>
      <w:pPr>
        <w:numPr>
          <w:ilvl w:val="0"/>
          <w:numId w:val="0"/>
        </w:numPr>
        <w:jc w:val="left"/>
        <w:spacing w:lineRule="auto" w:line="240" w:before="0" w:after="0"/>
        <w:ind w:right="0" w:firstLine="636"/>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基本医保基金支付医疗费的年度限额为20万元；大病保险基金支付医疗费的年度限</w:t>
      </w:r>
      <w:r>
        <w:rPr>
          <w:color w:val="auto"/>
          <w:position w:val="0"/>
          <w:sz w:val="28"/>
          <w:szCs w:val="28"/>
          <w:rFonts w:ascii="仿宋" w:eastAsia="仿宋" w:hAnsi="仿宋" w:hint="default"/>
        </w:rPr>
        <w:t>额为30万元，共计50万元。</w:t>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更多医保政策</w:t>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请登录石家庄市医疗保障局网站</w:t>
      </w:r>
      <w:r>
        <w:fldChar w:fldCharType="begin"/>
      </w:r>
      <w:r>
        <w:instrText xml:space="preserve">HYPERLINK "http://www.ylbzj.sjz.gov.cn"</w:instrText>
      </w:r>
      <w:r>
        <w:fldChar w:fldCharType="separate"/>
      </w:r>
      <w:r>
        <w:rPr>
          <w:rStyle w:val="PO156"/>
          <w:color w:val="0000FF" w:themeColor="hyperlink"/>
          <w:position w:val="0"/>
          <w:sz w:val="28"/>
          <w:szCs w:val="28"/>
          <w:u w:val="single"/>
          <w:rFonts w:ascii="仿宋" w:eastAsia="仿宋" w:hAnsi="仿宋" w:hint="default"/>
        </w:rPr>
        <w:t>www.ylbzj.sjz.gov.cn</w:t>
      </w:r>
      <w:r>
        <w:rPr>
          <w:color w:val="auto"/>
          <w:position w:val="0"/>
          <w:sz w:val="28"/>
          <w:szCs w:val="28"/>
          <w:rFonts w:ascii="仿宋" w:eastAsia="仿宋" w:hAnsi="仿宋" w:hint="default"/>
        </w:rPr>
        <w:fldChar w:fldCharType="end"/>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或石家庄医保APP或“石家庄医保”微信公众号</w:t>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 xml:space="preserve">                    </w:t>
      </w:r>
      <w:r>
        <w:rPr>
          <w:sz w:val="20"/>
        </w:rPr>
        <w:drawing>
          <wp:inline distT="0" distB="0" distL="0" distR="0">
            <wp:extent cx="1027430" cy="1096645"/>
            <wp:effectExtent l="0" t="0" r="0" b="0"/>
            <wp:docPr id="12" name="图片 1" descr="C:\Users\USER\AppData\Local\Temp\WeChat Files\db8a3cb46170df4e6e863f815aa5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cer/AppData/Roaming/JisuOffice/ETemp/11788_7455744/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28065" cy="1097280"/>
                    </a:xfrm>
                    <a:prstGeom prst="rect"/>
                    <a:noFill/>
                    <a:ln cap="flat">
                      <a:noFill/>
                    </a:ln>
                  </pic:spPr>
                </pic:pic>
              </a:graphicData>
            </a:graphic>
          </wp:inline>
        </w:drawing>
      </w:r>
      <w:r>
        <w:rPr>
          <w:sz w:val="20"/>
        </w:rPr>
        <w:drawing>
          <wp:inline distT="0" distB="0" distL="0" distR="0">
            <wp:extent cx="1075690" cy="1075690"/>
            <wp:effectExtent l="19050" t="0" r="0" b="0"/>
            <wp:docPr id="13" name="图片 1" descr="http://www.sjzyb.gov.cn/atm/4/201708291731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cer/AppData/Roaming/JisuOffice/ETemp/11788_7455744/image2.jpeg"/>
                    <pic:cNvPicPr>
                      <a:picLocks noChangeAspect="1" noChangeArrowheads="1"/>
                    </pic:cNvPicPr>
                  </pic:nvPicPr>
                  <pic:blipFill>
                    <a:blip r:embed="rId6" cstate="print"/>
                    <a:srcRect/>
                    <a:stretch>
                      <a:fillRect/>
                    </a:stretch>
                  </pic:blipFill>
                  <pic:spPr>
                    <a:xfrm>
                      <a:off x="0" y="0"/>
                      <a:ext cx="1076325" cy="1076325"/>
                    </a:xfrm>
                    <a:prstGeom prst="rect"/>
                    <a:noFill/>
                    <a:ln w="9525" cap="flat">
                      <a:noFill/>
                    </a:ln>
                  </pic:spPr>
                </pic:pic>
              </a:graphicData>
            </a:graphic>
          </wp:inline>
        </w:drawing>
      </w:r>
    </w:p>
    <w:p>
      <w:pPr>
        <w:numPr>
          <w:ilvl w:val="0"/>
          <w:numId w:val="0"/>
        </w:numPr>
        <w:jc w:val="left"/>
        <w:spacing w:lineRule="auto" w:line="240" w:before="0" w:after="0"/>
        <w:ind w:right="0" w:firstLine="28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获取更多医保知识！</w:t>
      </w:r>
    </w:p>
    <w:sectPr>
      <w:pgSz w:w="11906" w:h="16838"/>
      <w:pgMar w:top="311" w:left="680" w:bottom="311" w:right="340" w:header="850"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decimal"/>
      <w:start w:val="1"/>
      <w:suff w:val="tab"/>
      <w:pPr>
        <w:ind w:left="1356" w:hanging="720"/>
        <w:jc w:val="both"/>
      </w:pPr>
      <w:rPr>
        <w:shd w:val="clear"/>
        <w:sz w:val="20"/>
        <w:szCs w:val="20"/>
        <w:w w:val="100"/>
      </w:rPr>
      <w:lvlText w:val="%1、"/>
    </w:lvl>
    <w:lvl w:ilvl="1">
      <w:lvlJc w:val="left"/>
      <w:numFmt w:val="lowerLetter"/>
      <w:start w:val="1"/>
      <w:suff w:val="tab"/>
      <w:pPr>
        <w:ind w:left="1476" w:hanging="420"/>
        <w:jc w:val="both"/>
      </w:pPr>
      <w:lvlText w:val="%2)"/>
    </w:lvl>
    <w:lvl w:ilvl="2">
      <w:lvlJc w:val="right"/>
      <w:numFmt w:val="lowerRoman"/>
      <w:start w:val="1"/>
      <w:suff w:val="tab"/>
      <w:pPr>
        <w:ind w:left="1896" w:hanging="420"/>
        <w:jc w:val="both"/>
      </w:pPr>
      <w:lvlText w:val="%3."/>
    </w:lvl>
    <w:lvl w:ilvl="3">
      <w:lvlJc w:val="left"/>
      <w:numFmt w:val="decimal"/>
      <w:start w:val="1"/>
      <w:suff w:val="tab"/>
      <w:pPr>
        <w:ind w:left="2316" w:hanging="420"/>
        <w:jc w:val="both"/>
      </w:pPr>
      <w:lvlText w:val="%4."/>
    </w:lvl>
    <w:lvl w:ilvl="4">
      <w:lvlJc w:val="left"/>
      <w:numFmt w:val="lowerLetter"/>
      <w:start w:val="1"/>
      <w:suff w:val="tab"/>
      <w:pPr>
        <w:ind w:left="2736" w:hanging="420"/>
        <w:jc w:val="both"/>
      </w:pPr>
      <w:lvlText w:val="%5)"/>
    </w:lvl>
    <w:lvl w:ilvl="5">
      <w:lvlJc w:val="right"/>
      <w:numFmt w:val="lowerRoman"/>
      <w:start w:val="1"/>
      <w:suff w:val="tab"/>
      <w:pPr>
        <w:ind w:left="3156" w:hanging="420"/>
        <w:jc w:val="both"/>
      </w:pPr>
      <w:lvlText w:val="%6."/>
    </w:lvl>
    <w:lvl w:ilvl="6">
      <w:lvlJc w:val="left"/>
      <w:numFmt w:val="decimal"/>
      <w:start w:val="1"/>
      <w:suff w:val="tab"/>
      <w:pPr>
        <w:ind w:left="3576" w:hanging="420"/>
        <w:jc w:val="both"/>
      </w:pPr>
      <w:lvlText w:val="%7."/>
    </w:lvl>
    <w:lvl w:ilvl="7">
      <w:lvlJc w:val="left"/>
      <w:numFmt w:val="lowerLetter"/>
      <w:start w:val="1"/>
      <w:suff w:val="tab"/>
      <w:pPr>
        <w:ind w:left="3996" w:hanging="420"/>
        <w:jc w:val="both"/>
      </w:pPr>
      <w:lvlText w:val="%8)"/>
    </w:lvl>
    <w:lvl w:ilvl="8">
      <w:lvlJc w:val="right"/>
      <w:numFmt w:val="lowerRoman"/>
      <w:start w:val="1"/>
      <w:suff w:val="tab"/>
      <w:pPr>
        <w:ind w:left="4416" w:hanging="420"/>
        <w:jc w:val="both"/>
      </w:pPr>
      <w:lvlText w:val="%9."/>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2"/>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1"/>
        <w:szCs w:val="21"/>
        <w:w w:val="100"/>
      </w:rPr>
    </w:rPrDefault>
  </w:docDefaults>
  <w:style w:default="1" w:styleId="PO1" w:type="paragraph">
    <w:name w:val="Normal"/>
    <w:qFormat/>
    <w:uiPriority w:val="1"/>
    <w:pPr>
      <w:autoSpaceDE w:val="1"/>
      <w:autoSpaceDN w:val="1"/>
      <w:jc w:val="both"/>
      <w:widowControl/>
      <w:wordWrap/>
    </w:p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basedOn w:val="PO1"/>
    <w:qFormat/>
    <w:uiPriority w:val="26"/>
    <w:pPr>
      <w:autoSpaceDE w:val="1"/>
      <w:autoSpaceDN w:val="1"/>
      <w:ind w:firstLine="420"/>
      <w:widowControl/>
      <w:wordWrap/>
    </w:p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38" w:type="table">
    <w:name w:val="Table Grid"/>
    <w:uiPriority w:val="38"/>
    <w:tblPr>
      <w:tblBorders>
        <w:bottom w:val="single" w:color="auto" w:sz="4"/>
        <w:insideH w:val="single" w:color="auto" w:sz="4"/>
        <w:insideV w:val="single" w:color="auto" w:sz="4"/>
        <w:left w:val="single" w:color="auto" w:sz="4"/>
        <w:right w:val="single" w:color="auto" w:sz="4"/>
        <w:top w:val="single" w:color="auto" w:sz="4"/>
      </w:tblBorders>
      <w:tblCellMar>
        <w:bottom w:type="dxa" w:w="0"/>
        <w:left w:type="dxa" w:w="108"/>
        <w:right w:type="dxa" w:w="108"/>
        <w:top w:type="dxa" w:w="0"/>
      </w:tblCellMar>
      <w:tblInd w:type="dxa" w:w="0"/>
    </w:tblPr>
  </w:style>
  <w:style w:styleId="PO152" w:type="paragraph">
    <w:name w:val="header"/>
    <w:basedOn w:val="PO1"/>
    <w:link w:val="PO153"/>
    <w:uiPriority w:val="152"/>
    <w:unhideWhenUsed/>
    <w:pPr>
      <w:autoSpaceDE w:val="1"/>
      <w:autoSpaceDN w:val="1"/>
      <w:jc w:val="center"/>
      <w:tabs>
        <w:tab w:val="center" w:pos="4153"/>
        <w:tab w:val="right" w:pos="8306"/>
      </w:tabs>
      <w:widowControl/>
      <w:wordWrap/>
    </w:pPr>
    <w:rPr>
      <w:shd w:val="clear"/>
      <w:sz w:val="18"/>
      <w:szCs w:val="18"/>
      <w:w w:val="100"/>
    </w:rPr>
  </w:style>
  <w:style w:customStyle="1" w:styleId="PO153" w:type="character">
    <w:name w:val="页眉 Char"/>
    <w:basedOn w:val="PO2"/>
    <w:link w:val="PO152"/>
    <w:uiPriority w:val="153"/>
    <w:rPr>
      <w:shd w:val="clear"/>
      <w:sz w:val="18"/>
      <w:szCs w:val="18"/>
      <w:w w:val="100"/>
    </w:rPr>
  </w:style>
  <w:style w:styleId="PO154" w:type="paragraph">
    <w:name w:val="footer"/>
    <w:basedOn w:val="PO1"/>
    <w:link w:val="PO155"/>
    <w:uiPriority w:val="154"/>
    <w:unhideWhenUsed/>
    <w:pPr>
      <w:autoSpaceDE w:val="1"/>
      <w:autoSpaceDN w:val="1"/>
      <w:tabs>
        <w:tab w:val="center" w:pos="4153"/>
        <w:tab w:val="right" w:pos="8306"/>
      </w:tabs>
      <w:widowControl/>
      <w:wordWrap/>
    </w:pPr>
    <w:rPr>
      <w:shd w:val="clear"/>
      <w:sz w:val="18"/>
      <w:szCs w:val="18"/>
      <w:w w:val="100"/>
    </w:rPr>
  </w:style>
  <w:style w:customStyle="1" w:styleId="PO155" w:type="character">
    <w:name w:val="页脚 Char"/>
    <w:basedOn w:val="PO2"/>
    <w:link w:val="PO154"/>
    <w:uiPriority w:val="155"/>
    <w:rPr>
      <w:shd w:val="clear"/>
      <w:sz w:val="18"/>
      <w:szCs w:val="18"/>
      <w:w w:val="100"/>
    </w:rPr>
  </w:style>
  <w:style w:styleId="PO156" w:type="character">
    <w:name w:val="Hyperlink"/>
    <w:basedOn w:val="PO2"/>
    <w:uiPriority w:val="156"/>
    <w:unhideWhenUsed/>
    <w:rPr>
      <w:color w:val="0000FF" w:themeColor="hyperlink"/>
      <w:shd w:val="clear"/>
      <w:sz w:val="20"/>
      <w:szCs w:val="20"/>
      <w:u w:val="single"/>
      <w:w w:val="100"/>
    </w:rPr>
  </w:style>
  <w:style w:styleId="PO157" w:type="paragraph">
    <w:name w:val="Balloon Text"/>
    <w:basedOn w:val="PO1"/>
    <w:link w:val="PO158"/>
    <w:uiPriority w:val="157"/>
    <w:semiHidden/>
    <w:unhideWhenUsed/>
    <w:rPr>
      <w:shd w:val="clear"/>
      <w:sz w:val="18"/>
      <w:szCs w:val="18"/>
      <w:w w:val="100"/>
    </w:rPr>
  </w:style>
  <w:style w:customStyle="1" w:styleId="PO158" w:type="character">
    <w:name w:val="批注框文本 Char"/>
    <w:basedOn w:val="PO2"/>
    <w:link w:val="PO157"/>
    <w:uiPriority w:val="158"/>
    <w:semiHidden/>
    <w:rPr>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image1.jpeg"></Relationship><Relationship Id="rId6" Type="http://schemas.openxmlformats.org/officeDocument/2006/relationships/image" Target="media/image2.jpeg"></Relationship><Relationship Id="rId7" Type="http://schemas.openxmlformats.org/officeDocument/2006/relationships/numbering" Target="numbering.xml"></Relationship><Relationship Id="rId8"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9</Lines>
  <LinksUpToDate>false</LinksUpToDate>
  <Pages>2</Pages>
  <Paragraphs>2</Paragraphs>
  <Words>194</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USER</dc:creator>
  <cp:lastModifiedBy/>
  <dcterms:modified xsi:type="dcterms:W3CDTF">2021-06-29T03:46:00Z</dcterms:modified>
</cp:coreProperties>
</file>